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15"/>
        <w:gridCol w:w="673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80" w:type="dxa"/>
            <w:noWrap w:val="0"/>
            <w:vAlign w:val="center"/>
          </w:tcPr>
          <w:p>
            <w:pPr>
              <w:keepNext w:val="0"/>
              <w:keepLines w:val="0"/>
              <w:pageBreakBefore w:val="0"/>
              <w:widowControl w:val="0"/>
              <w:shd w:val="clear" w:color="auto" w:fill="auto"/>
              <w:kinsoku w:val="0"/>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宋体" w:hAnsi="宋体" w:eastAsia="宋体" w:cs="宋体"/>
                <w:b/>
                <w:bCs/>
                <w:snapToGrid w:val="0"/>
                <w:w w:val="100"/>
                <w:kern w:val="50"/>
                <w:sz w:val="21"/>
                <w:szCs w:val="21"/>
                <w:highlight w:val="none"/>
                <w:lang w:val="en-US" w:eastAsia="zh-CN" w:bidi="ar-SA"/>
              </w:rPr>
            </w:pPr>
            <w:r>
              <w:rPr>
                <w:rFonts w:hint="eastAsia" w:ascii="宋体" w:hAnsi="宋体" w:eastAsia="宋体" w:cs="宋体"/>
                <w:b/>
                <w:bCs/>
                <w:snapToGrid w:val="0"/>
                <w:w w:val="100"/>
                <w:kern w:val="50"/>
                <w:sz w:val="21"/>
                <w:szCs w:val="21"/>
                <w:highlight w:val="none"/>
                <w:lang w:val="en-US" w:eastAsia="zh-CN" w:bidi="ar-SA"/>
              </w:rPr>
              <w:t>序号</w:t>
            </w:r>
          </w:p>
        </w:tc>
        <w:tc>
          <w:tcPr>
            <w:tcW w:w="1515" w:type="dxa"/>
            <w:noWrap w:val="0"/>
            <w:vAlign w:val="center"/>
          </w:tcPr>
          <w:p>
            <w:pPr>
              <w:keepNext w:val="0"/>
              <w:keepLines w:val="0"/>
              <w:pageBreakBefore w:val="0"/>
              <w:widowControl w:val="0"/>
              <w:shd w:val="clear" w:color="auto" w:fill="auto"/>
              <w:kinsoku w:val="0"/>
              <w:wordWrap w:val="0"/>
              <w:overflowPunct/>
              <w:topLinePunct/>
              <w:autoSpaceDE/>
              <w:autoSpaceDN/>
              <w:bidi w:val="0"/>
              <w:adjustRightInd w:val="0"/>
              <w:snapToGrid w:val="0"/>
              <w:spacing w:before="0" w:beforeAutospacing="0" w:after="0" w:afterAutospacing="0" w:line="360" w:lineRule="auto"/>
              <w:ind w:left="0" w:leftChars="0" w:right="0" w:firstLine="0" w:firstLineChars="0"/>
              <w:jc w:val="center"/>
              <w:rPr>
                <w:rFonts w:hint="eastAsia" w:ascii="宋体" w:hAnsi="宋体" w:eastAsia="宋体" w:cs="宋体"/>
                <w:b/>
                <w:bCs/>
                <w:w w:val="100"/>
                <w:sz w:val="21"/>
                <w:szCs w:val="21"/>
                <w:highlight w:val="none"/>
                <w:lang w:eastAsia="zh-CN"/>
              </w:rPr>
            </w:pPr>
            <w:r>
              <w:rPr>
                <w:rFonts w:hint="eastAsia" w:ascii="宋体" w:hAnsi="宋体" w:eastAsia="宋体" w:cs="宋体"/>
                <w:b/>
                <w:bCs/>
                <w:w w:val="100"/>
                <w:sz w:val="21"/>
                <w:szCs w:val="21"/>
                <w:highlight w:val="none"/>
                <w:lang w:eastAsia="zh-CN"/>
              </w:rPr>
              <w:t>评分因素及</w:t>
            </w:r>
          </w:p>
          <w:p>
            <w:pPr>
              <w:keepNext w:val="0"/>
              <w:keepLines w:val="0"/>
              <w:pageBreakBefore w:val="0"/>
              <w:widowControl w:val="0"/>
              <w:shd w:val="clear" w:color="auto" w:fill="auto"/>
              <w:kinsoku w:val="0"/>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b/>
                <w:bCs/>
                <w:snapToGrid w:val="0"/>
                <w:w w:val="100"/>
                <w:kern w:val="50"/>
                <w:sz w:val="21"/>
                <w:szCs w:val="21"/>
                <w:highlight w:val="none"/>
                <w:lang w:val="en-US" w:eastAsia="zh-CN" w:bidi="ar-SA"/>
              </w:rPr>
            </w:pPr>
            <w:r>
              <w:rPr>
                <w:rFonts w:hint="eastAsia" w:ascii="宋体" w:hAnsi="宋体" w:eastAsia="宋体" w:cs="宋体"/>
                <w:b/>
                <w:bCs/>
                <w:w w:val="100"/>
                <w:sz w:val="21"/>
                <w:szCs w:val="21"/>
                <w:highlight w:val="none"/>
                <w:lang w:eastAsia="zh-CN"/>
              </w:rPr>
              <w:t>价格权值</w:t>
            </w:r>
          </w:p>
        </w:tc>
        <w:tc>
          <w:tcPr>
            <w:tcW w:w="6735" w:type="dxa"/>
            <w:noWrap w:val="0"/>
            <w:vAlign w:val="center"/>
          </w:tcPr>
          <w:p>
            <w:pPr>
              <w:keepNext w:val="0"/>
              <w:keepLines w:val="0"/>
              <w:pageBreakBefore w:val="0"/>
              <w:widowControl w:val="0"/>
              <w:shd w:val="clear" w:color="auto" w:fill="auto"/>
              <w:kinsoku w:val="0"/>
              <w:wordWrap w:val="0"/>
              <w:overflowPunct/>
              <w:topLinePunct/>
              <w:autoSpaceDE/>
              <w:autoSpaceDN/>
              <w:bidi w:val="0"/>
              <w:adjustRightInd w:val="0"/>
              <w:snapToGrid w:val="0"/>
              <w:spacing w:before="0" w:beforeAutospacing="0" w:after="0" w:afterAutospacing="0" w:line="360" w:lineRule="auto"/>
              <w:ind w:left="0" w:leftChars="0" w:right="0" w:rightChars="0" w:firstLine="422" w:firstLineChars="200"/>
              <w:jc w:val="center"/>
              <w:rPr>
                <w:rFonts w:hint="eastAsia" w:ascii="宋体" w:hAnsi="宋体" w:eastAsia="宋体" w:cs="宋体"/>
                <w:b/>
                <w:bCs/>
                <w:snapToGrid w:val="0"/>
                <w:w w:val="100"/>
                <w:kern w:val="50"/>
                <w:sz w:val="21"/>
                <w:szCs w:val="21"/>
                <w:highlight w:val="none"/>
                <w:lang w:val="en-US" w:eastAsia="zh-CN" w:bidi="ar-SA"/>
              </w:rPr>
            </w:pPr>
            <w:r>
              <w:rPr>
                <w:rFonts w:hint="eastAsia" w:ascii="宋体" w:hAnsi="宋体" w:eastAsia="宋体" w:cs="宋体"/>
                <w:b/>
                <w:bCs/>
                <w:w w:val="100"/>
                <w:sz w:val="21"/>
                <w:szCs w:val="21"/>
                <w:highlight w:val="none"/>
                <w:lang w:eastAsia="zh-CN"/>
              </w:rPr>
              <w:t>评分标准</w:t>
            </w:r>
          </w:p>
        </w:tc>
        <w:tc>
          <w:tcPr>
            <w:tcW w:w="721" w:type="dxa"/>
            <w:noWrap w:val="0"/>
            <w:vAlign w:val="center"/>
          </w:tcPr>
          <w:p>
            <w:pPr>
              <w:keepNext w:val="0"/>
              <w:keepLines w:val="0"/>
              <w:pageBreakBefore w:val="0"/>
              <w:widowControl w:val="0"/>
              <w:shd w:val="clear" w:color="auto" w:fill="auto"/>
              <w:kinsoku w:val="0"/>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宋体" w:hAnsi="宋体" w:eastAsia="宋体" w:cs="宋体"/>
                <w:b/>
                <w:bCs/>
                <w:snapToGrid w:val="0"/>
                <w:w w:val="100"/>
                <w:kern w:val="50"/>
                <w:sz w:val="21"/>
                <w:szCs w:val="21"/>
                <w:highlight w:val="none"/>
                <w:lang w:val="en-US" w:eastAsia="zh-CN" w:bidi="ar-SA"/>
              </w:rPr>
            </w:pPr>
            <w:r>
              <w:rPr>
                <w:rFonts w:hint="eastAsia" w:ascii="宋体" w:hAnsi="宋体" w:cs="宋体"/>
                <w:b/>
                <w:bCs/>
                <w:w w:val="10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480"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eastAsia="宋体"/>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lang w:val="en-US" w:eastAsia="zh-CN" w:bidi="ar-SA"/>
              </w:rPr>
              <w:t>1</w:t>
            </w:r>
          </w:p>
        </w:tc>
        <w:tc>
          <w:tcPr>
            <w:tcW w:w="151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报价</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b w:val="0"/>
                <w:bCs w:val="0"/>
                <w:snapToGrid w:val="0"/>
                <w:color w:val="auto"/>
                <w:kern w:val="2"/>
                <w:sz w:val="21"/>
                <w:szCs w:val="21"/>
                <w:highlight w:val="none"/>
                <w:lang w:val="en-US" w:eastAsia="zh-CN" w:bidi="ar-SA"/>
              </w:rPr>
            </w:pPr>
            <w:r>
              <w:rPr>
                <w:rFonts w:hint="eastAsia" w:ascii="宋体" w:hAnsi="宋体"/>
                <w:b w:val="0"/>
                <w:bCs w:val="0"/>
                <w:color w:val="auto"/>
                <w:sz w:val="21"/>
                <w:szCs w:val="21"/>
                <w:highlight w:val="none"/>
                <w:lang w:val="en-US" w:eastAsia="zh-CN"/>
              </w:rPr>
              <w:t>（10分）</w:t>
            </w:r>
          </w:p>
        </w:tc>
        <w:tc>
          <w:tcPr>
            <w:tcW w:w="6735"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参照《（2002年10月15日国家计委印发的《招标代理服务收费管理暂行办法》（计价格[2002]1980号）和2003年9月15日《国家发展改革委办公厅关于招标代理服务收费有关问题的通知》（发改办价格[2003]857号）收费标准，以此收费标准为基础，按下浮比例进行报价，每下浮1%得0.5分，最多得10分。其他报价不得分，不足1%按1%计。</w:t>
            </w:r>
          </w:p>
        </w:tc>
        <w:tc>
          <w:tcPr>
            <w:tcW w:w="72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80" w:type="dxa"/>
            <w:noWrap w:val="0"/>
            <w:vAlign w:val="center"/>
          </w:tcPr>
          <w:p>
            <w:pPr>
              <w:pStyle w:val="9"/>
              <w:jc w:val="center"/>
              <w:rPr>
                <w:rFonts w:hint="default" w:cs="宋体"/>
                <w:b w:val="0"/>
                <w:bCs w:val="0"/>
                <w:color w:val="auto"/>
                <w:sz w:val="21"/>
                <w:szCs w:val="21"/>
                <w:highlight w:val="none"/>
                <w:lang w:val="en-US" w:eastAsia="zh-CN" w:bidi="ar-SA"/>
              </w:rPr>
            </w:pPr>
            <w:r>
              <w:rPr>
                <w:rFonts w:hint="eastAsia" w:cs="宋体"/>
                <w:b w:val="0"/>
                <w:bCs w:val="0"/>
                <w:color w:val="auto"/>
                <w:sz w:val="21"/>
                <w:szCs w:val="21"/>
                <w:highlight w:val="none"/>
                <w:lang w:val="en-US" w:eastAsia="zh-CN" w:bidi="ar-SA"/>
              </w:rPr>
              <w:t>3</w:t>
            </w:r>
          </w:p>
        </w:tc>
        <w:tc>
          <w:tcPr>
            <w:tcW w:w="1515" w:type="dxa"/>
            <w:noWrap w:val="0"/>
            <w:vAlign w:val="center"/>
          </w:tcPr>
          <w:p>
            <w:pPr>
              <w:pStyle w:val="9"/>
              <w:jc w:val="center"/>
              <w:rPr>
                <w:rFonts w:hint="eastAsia" w:hAnsi="宋体" w:cs="宋体"/>
                <w:b w:val="0"/>
                <w:bCs w:val="0"/>
                <w:color w:val="auto"/>
                <w:sz w:val="21"/>
                <w:szCs w:val="21"/>
                <w:highlight w:val="none"/>
                <w:lang w:val="en-US" w:eastAsia="zh-CN"/>
              </w:rPr>
            </w:pPr>
            <w:r>
              <w:rPr>
                <w:rFonts w:hint="eastAsia" w:ascii="宋体" w:hAnsi="宋体" w:eastAsia="宋体" w:cs="Times New Roman"/>
                <w:b w:val="0"/>
                <w:bCs w:val="0"/>
                <w:snapToGrid w:val="0"/>
                <w:color w:val="auto"/>
                <w:kern w:val="50"/>
                <w:sz w:val="21"/>
                <w:szCs w:val="21"/>
                <w:highlight w:val="none"/>
                <w:lang w:val="en-US" w:eastAsia="zh-CN" w:bidi="ar-SA"/>
              </w:rPr>
              <w:t>实施采购的条件（10</w:t>
            </w:r>
            <w:r>
              <w:rPr>
                <w:rFonts w:hint="eastAsia" w:cs="Times New Roman"/>
                <w:b w:val="0"/>
                <w:bCs w:val="0"/>
                <w:snapToGrid w:val="0"/>
                <w:color w:val="auto"/>
                <w:kern w:val="50"/>
                <w:sz w:val="21"/>
                <w:szCs w:val="21"/>
                <w:highlight w:val="none"/>
                <w:lang w:val="en-US" w:eastAsia="zh-CN" w:bidi="ar-SA"/>
              </w:rPr>
              <w:t>分</w:t>
            </w:r>
            <w:r>
              <w:rPr>
                <w:rFonts w:hint="eastAsia" w:ascii="宋体" w:hAnsi="宋体" w:eastAsia="宋体" w:cs="Times New Roman"/>
                <w:b w:val="0"/>
                <w:bCs w:val="0"/>
                <w:snapToGrid w:val="0"/>
                <w:color w:val="auto"/>
                <w:kern w:val="50"/>
                <w:sz w:val="21"/>
                <w:szCs w:val="21"/>
                <w:highlight w:val="none"/>
                <w:lang w:val="en-US" w:eastAsia="zh-CN" w:bidi="ar-SA"/>
              </w:rPr>
              <w:t>）</w:t>
            </w:r>
          </w:p>
        </w:tc>
        <w:tc>
          <w:tcPr>
            <w:tcW w:w="6735" w:type="dxa"/>
            <w:noWrap w:val="0"/>
            <w:vAlign w:val="center"/>
          </w:tcPr>
          <w:p>
            <w:pPr>
              <w:pStyle w:val="11"/>
              <w:widowControl/>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根据比选申请人的固定办公场地进行综合评审：</w:t>
            </w:r>
          </w:p>
          <w:p>
            <w:pPr>
              <w:pStyle w:val="11"/>
              <w:widowControl/>
              <w:snapToGrid w:val="0"/>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1、比选申请人有固定的办公场所,办公场所</w:t>
            </w:r>
            <w:r>
              <w:rPr>
                <w:rFonts w:hint="eastAsia" w:ascii="宋体" w:hAnsi="宋体" w:eastAsia="宋体" w:cs="宋体"/>
                <w:bCs/>
                <w:color w:val="auto"/>
                <w:sz w:val="24"/>
                <w:szCs w:val="24"/>
                <w:highlight w:val="none"/>
              </w:rPr>
              <w:t>总面积≥</w:t>
            </w:r>
            <w:r>
              <w:rPr>
                <w:rFonts w:hint="eastAsia" w:ascii="宋体" w:hAnsi="宋体" w:eastAsia="宋体" w:cs="宋体"/>
                <w:bCs/>
                <w:color w:val="auto"/>
                <w:sz w:val="24"/>
                <w:szCs w:val="24"/>
                <w:highlight w:val="none"/>
                <w:lang w:val="en-US" w:eastAsia="zh-CN"/>
              </w:rPr>
              <w:t>200</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lang w:eastAsia="zh-CN"/>
              </w:rPr>
              <w:t>（含）</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；其余不得分。</w:t>
            </w:r>
            <w:bookmarkStart w:id="0" w:name="_GoBack"/>
            <w:bookmarkEnd w:id="0"/>
          </w:p>
          <w:p>
            <w:pPr>
              <w:pStyle w:val="11"/>
              <w:widowControl/>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比选</w:t>
            </w:r>
            <w:r>
              <w:rPr>
                <w:rFonts w:hint="eastAsia" w:ascii="宋体" w:hAnsi="宋体" w:eastAsia="宋体" w:cs="宋体"/>
                <w:bCs/>
                <w:color w:val="auto"/>
                <w:sz w:val="24"/>
                <w:szCs w:val="24"/>
              </w:rPr>
              <w:t>申请人在成都设立的开评标场地具有音视频录制监控系统的得1分；有门禁系统</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得1分；监督区、休息区、开标室、评标室有明确功能分区的得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分；开标室不少于2个（含）得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分；评标室不少于</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个（含）得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分；本项最多得</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分（提供对应场地实景照片并结合门牌标注说明，未提供不得分）。</w:t>
            </w:r>
          </w:p>
          <w:p>
            <w:pPr>
              <w:pStyle w:val="11"/>
              <w:widowControl/>
              <w:snapToGrid w:val="0"/>
              <w:spacing w:line="360" w:lineRule="auto"/>
              <w:rPr>
                <w:rFonts w:hint="eastAsia" w:ascii="宋体" w:hAnsi="宋体"/>
                <w:b w:val="0"/>
                <w:bCs w:val="0"/>
                <w:color w:val="auto"/>
                <w:sz w:val="21"/>
                <w:szCs w:val="21"/>
                <w:highlight w:val="none"/>
              </w:rPr>
            </w:pPr>
            <w:r>
              <w:rPr>
                <w:rFonts w:hint="eastAsia" w:ascii="宋体" w:hAnsi="宋体" w:eastAsia="宋体" w:cs="宋体"/>
                <w:bCs/>
                <w:color w:val="auto"/>
                <w:sz w:val="24"/>
                <w:szCs w:val="24"/>
              </w:rPr>
              <w:t>注:须提供房产证或租房合同、场地图片等相关支撑材料。比选人可以进行实地考察,如实际请况与比选申请书描述不一致的,将取消中选资格。</w:t>
            </w:r>
          </w:p>
        </w:tc>
        <w:tc>
          <w:tcPr>
            <w:tcW w:w="72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80" w:type="dxa"/>
            <w:noWrap w:val="0"/>
            <w:vAlign w:val="center"/>
          </w:tcPr>
          <w:p>
            <w:pPr>
              <w:pStyle w:val="9"/>
              <w:jc w:val="center"/>
              <w:rPr>
                <w:rFonts w:hint="default" w:ascii="宋体" w:cs="宋体"/>
                <w:b w:val="0"/>
                <w:bCs w:val="0"/>
                <w:color w:val="auto"/>
                <w:sz w:val="21"/>
                <w:szCs w:val="21"/>
                <w:highlight w:val="none"/>
                <w:lang w:val="en-US" w:eastAsia="zh-CN" w:bidi="ar-SA"/>
              </w:rPr>
            </w:pPr>
            <w:r>
              <w:rPr>
                <w:rFonts w:hint="eastAsia" w:cs="宋体"/>
                <w:b w:val="0"/>
                <w:bCs w:val="0"/>
                <w:color w:val="auto"/>
                <w:sz w:val="21"/>
                <w:szCs w:val="21"/>
                <w:highlight w:val="none"/>
                <w:lang w:val="en-US" w:eastAsia="zh-CN" w:bidi="ar-SA"/>
              </w:rPr>
              <w:t>4</w:t>
            </w:r>
          </w:p>
        </w:tc>
        <w:tc>
          <w:tcPr>
            <w:tcW w:w="151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人员实力</w:t>
            </w:r>
          </w:p>
          <w:p>
            <w:pPr>
              <w:pStyle w:val="9"/>
              <w:jc w:val="center"/>
              <w:rPr>
                <w:rFonts w:hint="eastAsia" w:ascii="宋体" w:hAnsi="宋体" w:eastAsia="宋体" w:cs="宋体"/>
                <w:b w:val="0"/>
                <w:bCs w:val="0"/>
                <w:snapToGrid w:val="0"/>
                <w:color w:val="auto"/>
                <w:kern w:val="50"/>
                <w:sz w:val="21"/>
                <w:szCs w:val="21"/>
                <w:highlight w:val="none"/>
                <w:lang w:val="en-US" w:eastAsia="zh-CN" w:bidi="ar-SA"/>
              </w:rPr>
            </w:pPr>
            <w:r>
              <w:rPr>
                <w:rFonts w:hint="eastAsia" w:hAnsi="宋体" w:cs="宋体"/>
                <w:b w:val="0"/>
                <w:bCs w:val="0"/>
                <w:color w:val="auto"/>
                <w:sz w:val="21"/>
                <w:szCs w:val="21"/>
                <w:highlight w:val="none"/>
                <w:lang w:val="en-US" w:eastAsia="zh-CN"/>
              </w:rPr>
              <w:t>（</w:t>
            </w:r>
            <w:r>
              <w:rPr>
                <w:rFonts w:hint="eastAsia" w:cs="宋体"/>
                <w:b w:val="0"/>
                <w:bCs w:val="0"/>
                <w:color w:val="auto"/>
                <w:sz w:val="21"/>
                <w:szCs w:val="21"/>
                <w:highlight w:val="none"/>
                <w:lang w:val="en-US" w:eastAsia="zh-CN"/>
              </w:rPr>
              <w:t>10</w:t>
            </w:r>
            <w:r>
              <w:rPr>
                <w:rFonts w:hint="eastAsia" w:hAnsi="宋体" w:cs="宋体"/>
                <w:b w:val="0"/>
                <w:bCs w:val="0"/>
                <w:color w:val="auto"/>
                <w:sz w:val="21"/>
                <w:szCs w:val="21"/>
                <w:highlight w:val="none"/>
                <w:lang w:val="en-US" w:eastAsia="zh-CN"/>
              </w:rPr>
              <w:t>分）</w:t>
            </w:r>
          </w:p>
        </w:tc>
        <w:tc>
          <w:tcPr>
            <w:tcW w:w="6735" w:type="dxa"/>
            <w:noWrap w:val="0"/>
            <w:vAlign w:val="center"/>
          </w:tcPr>
          <w:p>
            <w:pPr>
              <w:pStyle w:val="5"/>
              <w:numPr>
                <w:ilvl w:val="0"/>
                <w:numId w:val="0"/>
              </w:numPr>
              <w:spacing w:line="360" w:lineRule="auto"/>
              <w:ind w:left="0" w:leftChars="0" w:firstLine="0" w:firstLineChars="0"/>
              <w:rPr>
                <w:rFonts w:hint="eastAsia" w:ascii="宋体" w:hAnsi="宋体" w:eastAsia="宋体" w:cs="宋体"/>
                <w:b w:val="0"/>
                <w:bCs w:val="0"/>
                <w:color w:val="auto"/>
                <w:kern w:val="2"/>
                <w:sz w:val="24"/>
                <w:szCs w:val="24"/>
                <w:u w:color="000000"/>
                <w:lang w:val="en-US" w:eastAsia="zh-CN" w:bidi="ar-SA"/>
              </w:rPr>
            </w:pPr>
            <w:r>
              <w:rPr>
                <w:rFonts w:hint="eastAsia" w:ascii="宋体" w:hAnsi="宋体" w:eastAsia="宋体" w:cs="宋体"/>
                <w:b w:val="0"/>
                <w:bCs w:val="0"/>
                <w:color w:val="auto"/>
                <w:kern w:val="2"/>
                <w:sz w:val="24"/>
                <w:szCs w:val="24"/>
                <w:u w:color="000000"/>
                <w:lang w:val="en-US" w:eastAsia="zh-CN" w:bidi="ar-SA"/>
              </w:rPr>
              <w:t>1、比选申请人拟为本项目配置的项目负责人具有中级及以上职称的得</w:t>
            </w:r>
            <w:r>
              <w:rPr>
                <w:rFonts w:hint="eastAsia" w:ascii="宋体" w:hAnsi="宋体" w:cs="宋体"/>
                <w:b w:val="0"/>
                <w:bCs w:val="0"/>
                <w:color w:val="auto"/>
                <w:kern w:val="2"/>
                <w:sz w:val="24"/>
                <w:szCs w:val="24"/>
                <w:u w:color="000000"/>
                <w:lang w:val="en-US" w:eastAsia="zh-CN" w:bidi="ar-SA"/>
              </w:rPr>
              <w:t>1</w:t>
            </w:r>
            <w:r>
              <w:rPr>
                <w:rFonts w:hint="eastAsia" w:ascii="宋体" w:hAnsi="宋体" w:eastAsia="宋体" w:cs="宋体"/>
                <w:b w:val="0"/>
                <w:bCs w:val="0"/>
                <w:color w:val="auto"/>
                <w:kern w:val="2"/>
                <w:sz w:val="24"/>
                <w:szCs w:val="24"/>
                <w:u w:color="000000"/>
                <w:lang w:val="en-US" w:eastAsia="zh-CN" w:bidi="ar-SA"/>
              </w:rPr>
              <w:t>分，同时具有有效的政府采购专职从业人员相关的培训证书或四川省政府采购评审专家资格证书的加</w:t>
            </w:r>
            <w:r>
              <w:rPr>
                <w:rFonts w:hint="eastAsia" w:ascii="宋体" w:hAnsi="宋体" w:cs="宋体"/>
                <w:b w:val="0"/>
                <w:bCs w:val="0"/>
                <w:color w:val="auto"/>
                <w:kern w:val="2"/>
                <w:sz w:val="24"/>
                <w:szCs w:val="24"/>
                <w:u w:color="000000"/>
                <w:lang w:val="en-US" w:eastAsia="zh-CN" w:bidi="ar-SA"/>
              </w:rPr>
              <w:t>2</w:t>
            </w:r>
            <w:r>
              <w:rPr>
                <w:rFonts w:hint="eastAsia" w:ascii="宋体" w:hAnsi="宋体" w:eastAsia="宋体" w:cs="宋体"/>
                <w:b w:val="0"/>
                <w:bCs w:val="0"/>
                <w:color w:val="auto"/>
                <w:kern w:val="2"/>
                <w:sz w:val="24"/>
                <w:szCs w:val="24"/>
                <w:u w:color="000000"/>
                <w:lang w:val="en-US" w:eastAsia="zh-CN" w:bidi="ar-SA"/>
              </w:rPr>
              <w:t>分，具有招标师或招标采购师（高级）的加</w:t>
            </w:r>
            <w:r>
              <w:rPr>
                <w:rFonts w:hint="eastAsia" w:ascii="宋体" w:hAnsi="宋体" w:cs="宋体"/>
                <w:b w:val="0"/>
                <w:bCs w:val="0"/>
                <w:color w:val="auto"/>
                <w:kern w:val="2"/>
                <w:sz w:val="24"/>
                <w:szCs w:val="24"/>
                <w:u w:color="000000"/>
                <w:lang w:val="en-US" w:eastAsia="zh-CN" w:bidi="ar-SA"/>
              </w:rPr>
              <w:t>2</w:t>
            </w:r>
            <w:r>
              <w:rPr>
                <w:rFonts w:hint="eastAsia" w:ascii="宋体" w:hAnsi="宋体" w:eastAsia="宋体" w:cs="宋体"/>
                <w:b w:val="0"/>
                <w:bCs w:val="0"/>
                <w:color w:val="auto"/>
                <w:kern w:val="2"/>
                <w:sz w:val="24"/>
                <w:szCs w:val="24"/>
                <w:u w:color="000000"/>
                <w:lang w:val="en-US" w:eastAsia="zh-CN" w:bidi="ar-SA"/>
              </w:rPr>
              <w:t>分</w:t>
            </w:r>
            <w:r>
              <w:rPr>
                <w:rFonts w:hint="eastAsia" w:ascii="宋体" w:hAnsi="宋体" w:cs="宋体"/>
                <w:b w:val="0"/>
                <w:bCs w:val="0"/>
                <w:color w:val="auto"/>
                <w:kern w:val="2"/>
                <w:sz w:val="24"/>
                <w:szCs w:val="24"/>
                <w:u w:color="000000"/>
                <w:lang w:val="en-US" w:eastAsia="zh-CN" w:bidi="ar-SA"/>
              </w:rPr>
              <w:t>。</w:t>
            </w:r>
            <w:r>
              <w:rPr>
                <w:rFonts w:hint="eastAsia" w:ascii="宋体" w:hAnsi="宋体" w:eastAsia="宋体" w:cs="宋体"/>
                <w:b w:val="0"/>
                <w:bCs w:val="0"/>
                <w:color w:val="auto"/>
                <w:kern w:val="2"/>
                <w:sz w:val="24"/>
                <w:szCs w:val="24"/>
                <w:u w:color="000000"/>
                <w:lang w:val="en-US" w:eastAsia="zh-CN" w:bidi="ar-SA"/>
              </w:rPr>
              <w:t>本项最高得</w:t>
            </w:r>
            <w:r>
              <w:rPr>
                <w:rFonts w:hint="eastAsia" w:ascii="宋体" w:hAnsi="宋体" w:cs="宋体"/>
                <w:b w:val="0"/>
                <w:bCs w:val="0"/>
                <w:color w:val="auto"/>
                <w:kern w:val="2"/>
                <w:sz w:val="24"/>
                <w:szCs w:val="24"/>
                <w:u w:color="000000"/>
                <w:lang w:val="en-US" w:eastAsia="zh-CN" w:bidi="ar-SA"/>
              </w:rPr>
              <w:t>5</w:t>
            </w:r>
            <w:r>
              <w:rPr>
                <w:rFonts w:hint="eastAsia" w:ascii="宋体" w:hAnsi="宋体" w:eastAsia="宋体" w:cs="宋体"/>
                <w:b w:val="0"/>
                <w:bCs w:val="0"/>
                <w:color w:val="auto"/>
                <w:kern w:val="2"/>
                <w:sz w:val="24"/>
                <w:szCs w:val="24"/>
                <w:u w:color="000000"/>
                <w:lang w:val="en-US" w:eastAsia="zh-CN" w:bidi="ar-SA"/>
              </w:rPr>
              <w:t>分。（提供相关证书复印件及申请人为其购买社保证明材料。）</w:t>
            </w:r>
          </w:p>
          <w:p>
            <w:pPr>
              <w:pStyle w:val="5"/>
              <w:numPr>
                <w:ilvl w:val="0"/>
                <w:numId w:val="0"/>
              </w:numPr>
              <w:spacing w:line="360" w:lineRule="auto"/>
              <w:ind w:left="0" w:leftChars="0" w:firstLine="0" w:firstLineChars="0"/>
              <w:rPr>
                <w:rFonts w:hint="eastAsia" w:ascii="宋体" w:hAnsi="宋体" w:eastAsia="宋体" w:cs="宋体"/>
                <w:b w:val="0"/>
                <w:bCs w:val="0"/>
                <w:color w:val="auto"/>
                <w:kern w:val="2"/>
                <w:sz w:val="24"/>
                <w:szCs w:val="24"/>
                <w:u w:color="000000"/>
                <w:lang w:val="en-US" w:eastAsia="zh-CN" w:bidi="ar-SA"/>
              </w:rPr>
            </w:pPr>
            <w:r>
              <w:rPr>
                <w:rFonts w:hint="eastAsia" w:ascii="宋体" w:hAnsi="宋体" w:eastAsia="宋体" w:cs="宋体"/>
                <w:b w:val="0"/>
                <w:bCs w:val="0"/>
                <w:color w:val="auto"/>
                <w:kern w:val="2"/>
                <w:sz w:val="24"/>
                <w:szCs w:val="24"/>
                <w:u w:color="000000"/>
                <w:lang w:val="en-US" w:eastAsia="zh-CN" w:bidi="ar-SA"/>
              </w:rPr>
              <w:t>2、拟为本项目配置的项目团队中（项目负责人除外），每有一名中级及以上职称的人员得</w:t>
            </w:r>
            <w:r>
              <w:rPr>
                <w:rFonts w:hint="eastAsia" w:ascii="宋体" w:hAnsi="宋体" w:cs="宋体"/>
                <w:b w:val="0"/>
                <w:bCs w:val="0"/>
                <w:color w:val="auto"/>
                <w:kern w:val="2"/>
                <w:sz w:val="24"/>
                <w:szCs w:val="24"/>
                <w:u w:color="000000"/>
                <w:lang w:val="en-US" w:eastAsia="zh-CN" w:bidi="ar-SA"/>
              </w:rPr>
              <w:t>1</w:t>
            </w:r>
            <w:r>
              <w:rPr>
                <w:rFonts w:hint="eastAsia" w:ascii="宋体" w:hAnsi="宋体" w:eastAsia="宋体" w:cs="宋体"/>
                <w:b w:val="0"/>
                <w:bCs w:val="0"/>
                <w:color w:val="auto"/>
                <w:kern w:val="2"/>
                <w:sz w:val="24"/>
                <w:szCs w:val="24"/>
                <w:u w:color="000000"/>
                <w:lang w:val="en-US" w:eastAsia="zh-CN" w:bidi="ar-SA"/>
              </w:rPr>
              <w:t>分，本项最多得</w:t>
            </w:r>
            <w:r>
              <w:rPr>
                <w:rFonts w:hint="eastAsia" w:ascii="宋体" w:hAnsi="宋体" w:cs="宋体"/>
                <w:b w:val="0"/>
                <w:bCs w:val="0"/>
                <w:color w:val="auto"/>
                <w:kern w:val="2"/>
                <w:sz w:val="24"/>
                <w:szCs w:val="24"/>
                <w:u w:color="000000"/>
                <w:lang w:val="en-US" w:eastAsia="zh-CN" w:bidi="ar-SA"/>
              </w:rPr>
              <w:t>2</w:t>
            </w:r>
            <w:r>
              <w:rPr>
                <w:rFonts w:hint="eastAsia" w:ascii="宋体" w:hAnsi="宋体" w:eastAsia="宋体" w:cs="宋体"/>
                <w:b w:val="0"/>
                <w:bCs w:val="0"/>
                <w:color w:val="auto"/>
                <w:kern w:val="2"/>
                <w:sz w:val="24"/>
                <w:szCs w:val="24"/>
                <w:u w:color="000000"/>
                <w:lang w:val="en-US" w:eastAsia="zh-CN" w:bidi="ar-SA"/>
              </w:rPr>
              <w:t>分。</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Cs/>
                <w:color w:val="auto"/>
                <w:kern w:val="2"/>
                <w:sz w:val="24"/>
                <w:szCs w:val="24"/>
                <w:u w:color="000000"/>
                <w:lang w:val="en-US" w:eastAsia="zh-CN" w:bidi="ar-SA"/>
              </w:rPr>
            </w:pPr>
            <w:r>
              <w:rPr>
                <w:rFonts w:hint="eastAsia" w:ascii="宋体" w:hAnsi="宋体" w:eastAsia="宋体" w:cs="宋体"/>
                <w:b w:val="0"/>
                <w:bCs w:val="0"/>
                <w:color w:val="auto"/>
                <w:kern w:val="2"/>
                <w:sz w:val="24"/>
                <w:szCs w:val="24"/>
                <w:u w:color="000000"/>
                <w:lang w:val="en-US" w:eastAsia="zh-CN" w:bidi="ar-SA"/>
              </w:rPr>
              <w:t>拟为本项目配置的项目团队中（项目负责人除外），每有一名具有政府采购专职从业人员培训合格证书的人员得1分，本项最多得3分。</w:t>
            </w:r>
          </w:p>
        </w:tc>
        <w:tc>
          <w:tcPr>
            <w:tcW w:w="72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80"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151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企业实力</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b w:val="0"/>
                <w:bCs w:val="0"/>
                <w:snapToGrid w:val="0"/>
                <w:color w:val="auto"/>
                <w:kern w:val="2"/>
                <w:sz w:val="21"/>
                <w:szCs w:val="21"/>
                <w:highlight w:val="none"/>
                <w:lang w:val="en-US" w:eastAsia="zh-CN" w:bidi="ar-SA"/>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cs="宋体"/>
                <w:b w:val="0"/>
                <w:bCs w:val="0"/>
                <w:color w:val="auto"/>
                <w:sz w:val="21"/>
                <w:szCs w:val="21"/>
                <w:highlight w:val="none"/>
              </w:rPr>
              <w:t>分）</w:t>
            </w:r>
          </w:p>
        </w:tc>
        <w:tc>
          <w:tcPr>
            <w:tcW w:w="6735" w:type="dxa"/>
            <w:noWrap w:val="0"/>
            <w:vAlign w:val="center"/>
          </w:tcPr>
          <w:p>
            <w:pPr>
              <w:pStyle w:val="11"/>
              <w:widowControl/>
              <w:snapToGrid w:val="0"/>
              <w:spacing w:line="360" w:lineRule="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1、比选申请人具有有效的质量管理体系认证、环境管理体系认证、职业健康管理体系认证证书得6分，每少一证扣2分，扣完为止（提供证书复印件）；</w:t>
            </w:r>
          </w:p>
          <w:p>
            <w:pPr>
              <w:pStyle w:val="11"/>
              <w:widowControl/>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2、比选申请人具有法律顾问的得2分。</w:t>
            </w:r>
            <w:r>
              <w:rPr>
                <w:rFonts w:hint="eastAsia" w:ascii="宋体" w:hAnsi="宋体" w:eastAsia="宋体" w:cs="宋体"/>
                <w:bCs/>
                <w:color w:val="auto"/>
                <w:kern w:val="2"/>
                <w:sz w:val="24"/>
                <w:szCs w:val="24"/>
                <w:highlight w:val="none"/>
                <w:lang w:val="en-US" w:eastAsia="zh-CN" w:bidi="ar-SA"/>
              </w:rPr>
              <w:t>（提供本比选项目公告日期前签署的且在有效期内的法律服务合作协议及律师执业资格证复印件）</w:t>
            </w:r>
          </w:p>
          <w:p>
            <w:pPr>
              <w:pStyle w:val="11"/>
              <w:widowControl/>
              <w:snapToGrid w:val="0"/>
              <w:spacing w:line="360" w:lineRule="auto"/>
              <w:rPr>
                <w:rFonts w:hint="default"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highlight w:val="none"/>
                <w:lang w:val="en-US" w:eastAsia="zh-CN" w:bidi="ar-SA"/>
              </w:rPr>
              <w:t>比选申请人参加政府采购培训人员5人及以上得2分，不足5人的不得分。（以中国政府采购网代理机构备案登记信息截图为准，提供截图复印件）</w:t>
            </w:r>
          </w:p>
        </w:tc>
        <w:tc>
          <w:tcPr>
            <w:tcW w:w="721" w:type="dxa"/>
            <w:noWrap w:val="0"/>
            <w:vAlign w:val="center"/>
          </w:tcPr>
          <w:p>
            <w:pPr>
              <w:pStyle w:val="10"/>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80" w:type="dxa"/>
            <w:noWrap w:val="0"/>
            <w:vAlign w:val="center"/>
          </w:tcPr>
          <w:p>
            <w:pPr>
              <w:keepNext w:val="0"/>
              <w:keepLines w:val="0"/>
              <w:pageBreakBefore w:val="0"/>
              <w:widowControl w:val="0"/>
              <w:tabs>
                <w:tab w:val="left" w:pos="331"/>
              </w:tabs>
              <w:kinsoku/>
              <w:wordWrap/>
              <w:overflowPunct/>
              <w:topLinePunct w:val="0"/>
              <w:autoSpaceDE/>
              <w:autoSpaceDN/>
              <w:bidi w:val="0"/>
              <w:spacing w:line="440" w:lineRule="exact"/>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1515" w:type="dxa"/>
            <w:noWrap w:val="0"/>
            <w:vAlign w:val="center"/>
          </w:tcPr>
          <w:p>
            <w:pPr>
              <w:keepNext w:val="0"/>
              <w:keepLines w:val="0"/>
              <w:pageBreakBefore w:val="0"/>
              <w:widowControl w:val="0"/>
              <w:tabs>
                <w:tab w:val="left" w:pos="331"/>
              </w:tabs>
              <w:kinsoku/>
              <w:wordWrap/>
              <w:overflowPunct/>
              <w:topLinePunct w:val="0"/>
              <w:autoSpaceDE/>
              <w:autoSpaceDN/>
              <w:bidi w:val="0"/>
              <w:spacing w:line="440" w:lineRule="exact"/>
              <w:jc w:val="center"/>
              <w:textAlignment w:val="auto"/>
              <w:rPr>
                <w:rFonts w:hint="eastAsia" w:ascii="宋体" w:hAnsi="宋体" w:cs="宋体"/>
                <w:b w:val="0"/>
                <w:bCs w:val="0"/>
                <w:snapToGrid w:val="0"/>
                <w:color w:val="auto"/>
                <w:kern w:val="2"/>
                <w:sz w:val="21"/>
                <w:szCs w:val="21"/>
                <w:highlight w:val="none"/>
                <w:lang w:val="en-US" w:eastAsia="zh-CN" w:bidi="ar-SA"/>
              </w:rPr>
            </w:pPr>
            <w:r>
              <w:rPr>
                <w:rFonts w:hint="eastAsia" w:ascii="宋体" w:hAnsi="宋体" w:cs="宋体"/>
                <w:b w:val="0"/>
                <w:bCs w:val="0"/>
                <w:color w:val="auto"/>
                <w:sz w:val="21"/>
                <w:szCs w:val="21"/>
                <w:highlight w:val="none"/>
              </w:rPr>
              <w:t>采购代理业绩（</w:t>
            </w:r>
            <w:r>
              <w:rPr>
                <w:rFonts w:hint="eastAsia" w:ascii="宋体" w:hAnsi="宋体" w:cs="宋体"/>
                <w:b w:val="0"/>
                <w:bCs w:val="0"/>
                <w:color w:val="auto"/>
                <w:sz w:val="21"/>
                <w:szCs w:val="21"/>
                <w:highlight w:val="none"/>
                <w:lang w:val="en-US" w:eastAsia="zh-CN"/>
              </w:rPr>
              <w:t>30分</w:t>
            </w:r>
            <w:r>
              <w:rPr>
                <w:rFonts w:hint="eastAsia" w:ascii="宋体" w:hAnsi="宋体" w:cs="宋体"/>
                <w:b w:val="0"/>
                <w:bCs w:val="0"/>
                <w:color w:val="auto"/>
                <w:sz w:val="21"/>
                <w:szCs w:val="21"/>
                <w:highlight w:val="none"/>
              </w:rPr>
              <w:t>）</w:t>
            </w:r>
          </w:p>
        </w:tc>
        <w:tc>
          <w:tcPr>
            <w:tcW w:w="6735" w:type="dxa"/>
            <w:noWrap w:val="0"/>
            <w:vAlign w:val="top"/>
          </w:tcPr>
          <w:p>
            <w:pPr>
              <w:pStyle w:val="10"/>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b w:val="0"/>
                <w:bCs w:val="0"/>
                <w:color w:val="auto"/>
                <w:kern w:val="2"/>
                <w:sz w:val="24"/>
                <w:szCs w:val="24"/>
                <w:u w:color="000000"/>
                <w:lang w:val="en-US" w:eastAsia="zh-CN" w:bidi="ar-SA"/>
              </w:rPr>
            </w:pPr>
            <w:r>
              <w:rPr>
                <w:rFonts w:hint="eastAsia" w:ascii="宋体" w:hAnsi="宋体" w:eastAsia="宋体" w:cs="宋体"/>
                <w:b w:val="0"/>
                <w:bCs w:val="0"/>
                <w:color w:val="auto"/>
                <w:kern w:val="2"/>
                <w:sz w:val="24"/>
                <w:szCs w:val="24"/>
                <w:u w:color="000000"/>
                <w:lang w:val="en-US" w:eastAsia="zh-CN" w:bidi="ar-SA"/>
              </w:rPr>
              <w:t>2020年以来，申请人具有5个四川省内的采购代理业绩得10分，每增加1个采购代理业绩加2分，最多加20分；本项最多得30分。</w:t>
            </w:r>
          </w:p>
          <w:p>
            <w:pPr>
              <w:pStyle w:val="10"/>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bCs/>
                <w:color w:val="auto"/>
                <w:kern w:val="2"/>
                <w:sz w:val="24"/>
                <w:szCs w:val="24"/>
                <w:u w:color="000000"/>
                <w:lang w:val="en-US" w:eastAsia="zh-CN" w:bidi="ar-SA"/>
              </w:rPr>
            </w:pPr>
            <w:r>
              <w:rPr>
                <w:rFonts w:hint="eastAsia" w:ascii="宋体" w:hAnsi="宋体" w:eastAsia="宋体" w:cs="宋体"/>
                <w:b w:val="0"/>
                <w:bCs w:val="0"/>
                <w:color w:val="auto"/>
                <w:kern w:val="2"/>
                <w:sz w:val="24"/>
                <w:szCs w:val="24"/>
                <w:u w:color="000000"/>
                <w:lang w:val="en-US" w:eastAsia="zh-CN" w:bidi="ar-SA"/>
              </w:rPr>
              <w:t>说明：提供采购代理委托协议或采购公告/结果公告网页截图复印件，并加盖比选申请人鲜章，不提供不得分</w:t>
            </w:r>
          </w:p>
        </w:tc>
        <w:tc>
          <w:tcPr>
            <w:tcW w:w="721" w:type="dxa"/>
            <w:noWrap w:val="0"/>
            <w:vAlign w:val="top"/>
          </w:tcPr>
          <w:p>
            <w:pPr>
              <w:pStyle w:val="10"/>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480" w:type="dxa"/>
            <w:noWrap w:val="0"/>
            <w:vAlign w:val="center"/>
          </w:tcPr>
          <w:p>
            <w:pPr>
              <w:keepNext w:val="0"/>
              <w:keepLines w:val="0"/>
              <w:pageBreakBefore w:val="0"/>
              <w:widowControl w:val="0"/>
              <w:tabs>
                <w:tab w:val="left" w:pos="331"/>
              </w:tabs>
              <w:kinsoku/>
              <w:wordWrap/>
              <w:overflowPunct/>
              <w:topLinePunct w:val="0"/>
              <w:autoSpaceDE/>
              <w:autoSpaceDN/>
              <w:bidi w:val="0"/>
              <w:spacing w:line="440" w:lineRule="exact"/>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c>
          <w:tcPr>
            <w:tcW w:w="1515" w:type="dxa"/>
            <w:noWrap w:val="0"/>
            <w:vAlign w:val="center"/>
          </w:tcPr>
          <w:p>
            <w:pPr>
              <w:keepNext w:val="0"/>
              <w:keepLines w:val="0"/>
              <w:pageBreakBefore w:val="0"/>
              <w:widowControl w:val="0"/>
              <w:tabs>
                <w:tab w:val="left" w:pos="331"/>
              </w:tabs>
              <w:kinsoku/>
              <w:wordWrap/>
              <w:overflowPunct/>
              <w:topLinePunct w:val="0"/>
              <w:autoSpaceDE/>
              <w:autoSpaceDN/>
              <w:bidi w:val="0"/>
              <w:spacing w:line="440" w:lineRule="exact"/>
              <w:jc w:val="center"/>
              <w:textAlignment w:val="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服务方案</w:t>
            </w:r>
          </w:p>
          <w:p>
            <w:pPr>
              <w:keepNext w:val="0"/>
              <w:keepLines w:val="0"/>
              <w:pageBreakBefore w:val="0"/>
              <w:widowControl w:val="0"/>
              <w:tabs>
                <w:tab w:val="left" w:pos="331"/>
              </w:tabs>
              <w:kinsoku/>
              <w:wordWrap/>
              <w:overflowPunct/>
              <w:topLinePunct w:val="0"/>
              <w:autoSpaceDE/>
              <w:autoSpaceDN/>
              <w:bidi w:val="0"/>
              <w:spacing w:line="44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30</w:t>
            </w:r>
            <w:r>
              <w:rPr>
                <w:rFonts w:hint="eastAsia" w:ascii="宋体" w:hAnsi="宋体" w:cs="宋体"/>
                <w:b w:val="0"/>
                <w:bCs w:val="0"/>
                <w:color w:val="auto"/>
                <w:sz w:val="21"/>
                <w:szCs w:val="21"/>
                <w:highlight w:val="none"/>
              </w:rPr>
              <w:t>分）</w:t>
            </w:r>
          </w:p>
        </w:tc>
        <w:tc>
          <w:tcPr>
            <w:tcW w:w="6735" w:type="dxa"/>
            <w:noWrap w:val="0"/>
            <w:vAlign w:val="top"/>
          </w:tcPr>
          <w:p>
            <w:pPr>
              <w:pStyle w:val="10"/>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b w:val="0"/>
                <w:bCs w:val="0"/>
                <w:color w:val="auto"/>
                <w:kern w:val="2"/>
                <w:sz w:val="24"/>
                <w:szCs w:val="24"/>
                <w:u w:color="000000"/>
                <w:lang w:val="en-US" w:eastAsia="zh-CN" w:bidi="ar-SA"/>
              </w:rPr>
            </w:pPr>
            <w:r>
              <w:rPr>
                <w:rFonts w:hint="eastAsia" w:ascii="宋体" w:hAnsi="宋体" w:eastAsia="宋体" w:cs="宋体"/>
                <w:b w:val="0"/>
                <w:bCs w:val="0"/>
                <w:color w:val="auto"/>
                <w:kern w:val="2"/>
                <w:sz w:val="24"/>
                <w:szCs w:val="24"/>
                <w:u w:color="000000"/>
                <w:lang w:val="en-US" w:eastAsia="zh-CN" w:bidi="ar-SA"/>
              </w:rPr>
              <w:t>1、对比选申请人的采购内控制度包括财务管理、开评标管理、项目质量控制、保密制度、档案管理制度进行综合评审，以上5项描述完整、阐述清晰、逻辑性强、并且有具体措施，可操作性强的每项得3分；描述较为完整、阐述较为清晰、逻辑性可操作性较强，存在缺陷、瑕疵、只有要点式罗列没有进行详细阐述的每项得1.5分；描述不完整、阐述不清晰、逻辑性可操作性不强、阐述不符合实际的每项得0.5分；每有1项内容缺失扣3分。</w:t>
            </w:r>
          </w:p>
          <w:p>
            <w:pPr>
              <w:pStyle w:val="10"/>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cs="宋体"/>
                <w:b w:val="0"/>
                <w:bCs w:val="0"/>
                <w:color w:val="auto"/>
                <w:sz w:val="21"/>
                <w:szCs w:val="21"/>
                <w:highlight w:val="none"/>
              </w:rPr>
            </w:pPr>
            <w:r>
              <w:rPr>
                <w:rFonts w:hint="eastAsia" w:ascii="宋体" w:hAnsi="宋体" w:eastAsia="宋体" w:cs="宋体"/>
                <w:b w:val="0"/>
                <w:bCs w:val="0"/>
                <w:color w:val="auto"/>
                <w:kern w:val="2"/>
                <w:sz w:val="24"/>
                <w:szCs w:val="24"/>
                <w:u w:color="000000"/>
                <w:lang w:val="en-US" w:eastAsia="zh-CN" w:bidi="ar-SA"/>
              </w:rPr>
              <w:t>2、对比选申请人的服务方案包括人员配比、项目服务进度、保障措施、项目风险管控措施、采购项目实施重点与难点分析及应对措施的结构合理性、完整性、可操作性进行综合评审，以上5项描述完整、阐述清晰、逻辑性强、并且有具体措施，可操作性强的每项得3分；描述较为完整、阐述较为清晰、逻辑性可操作性较强，存在缺陷、瑕疵、只有要点式罗列没有进行详细阐述的每项得1.5分；描述不完整、阐述不清晰、逻辑性可操作性不强、阐述不符合实际的每项得0.5分；每有1项内容缺失扣3分。</w:t>
            </w:r>
          </w:p>
        </w:tc>
        <w:tc>
          <w:tcPr>
            <w:tcW w:w="721" w:type="dxa"/>
            <w:noWrap w:val="0"/>
            <w:vAlign w:val="top"/>
          </w:tcPr>
          <w:p>
            <w:pPr>
              <w:pStyle w:val="10"/>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cs="宋体"/>
                <w:b w:val="0"/>
                <w:bCs w:val="0"/>
                <w:color w:val="auto"/>
                <w:sz w:val="21"/>
                <w:szCs w:val="21"/>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WFiMjIxMjY4YTUwMjRmYTk3YWZkM2I0ZGMxM2QifQ=="/>
  </w:docVars>
  <w:rsids>
    <w:rsidRoot w:val="046646AD"/>
    <w:rsid w:val="046646AD"/>
    <w:rsid w:val="04FB555D"/>
    <w:rsid w:val="215F1C42"/>
    <w:rsid w:val="27FD70FF"/>
    <w:rsid w:val="40C50AD3"/>
    <w:rsid w:val="5E6A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_GBK" w:hAnsi="Times New Roman" w:eastAsia="宋体" w:cs="Times New Roman"/>
      <w:b/>
      <w:snapToGrid w:val="0"/>
      <w:kern w:val="50"/>
      <w:sz w:val="32"/>
      <w:szCs w:val="50"/>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b w:val="0"/>
      <w:bCs/>
      <w:snapToGrid/>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100" w:firstLineChars="100"/>
    </w:pPr>
  </w:style>
  <w:style w:type="paragraph" w:styleId="5">
    <w:name w:val="annotation text"/>
    <w:basedOn w:val="1"/>
    <w:semiHidden/>
    <w:unhideWhenUsed/>
    <w:qFormat/>
    <w:uiPriority w:val="99"/>
    <w:pPr>
      <w:jc w:val="left"/>
    </w:pPr>
  </w:style>
  <w:style w:type="paragraph" w:styleId="6">
    <w:name w:val="Title"/>
    <w:basedOn w:val="1"/>
    <w:next w:val="1"/>
    <w:qFormat/>
    <w:uiPriority w:val="0"/>
    <w:pPr>
      <w:spacing w:before="240" w:after="60"/>
      <w:jc w:val="center"/>
      <w:outlineLvl w:val="0"/>
    </w:pPr>
    <w:rPr>
      <w:rFonts w:ascii="Cambria" w:hAnsi="Cambria" w:cs="Times New Roman"/>
      <w:bCs/>
      <w:sz w:val="32"/>
      <w:szCs w:val="32"/>
    </w:rPr>
  </w:style>
  <w:style w:type="paragraph" w:customStyle="1" w:styleId="9">
    <w:name w:val="Default"/>
    <w:basedOn w:val="6"/>
    <w:next w:val="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
    <w:name w:val="列出段落4"/>
    <w:basedOn w:val="1"/>
    <w:qFormat/>
    <w:uiPriority w:val="34"/>
    <w:pPr>
      <w:ind w:firstLine="420" w:firstLineChars="200"/>
    </w:pPr>
  </w:style>
  <w:style w:type="paragraph" w:customStyle="1" w:styleId="11">
    <w:name w:val="正文 A"/>
    <w:qFormat/>
    <w:uiPriority w:val="0"/>
    <w:pPr>
      <w:widowControl w:val="0"/>
      <w:jc w:val="both"/>
    </w:pPr>
    <w:rPr>
      <w:rFonts w:ascii="Arial Unicode MS" w:hAnsi="Arial Unicode MS" w:eastAsia="Arial Unicode MS" w:cs="Arial Unicode MS"/>
      <w:color w:val="000000"/>
      <w:kern w:val="2"/>
      <w:sz w:val="21"/>
      <w:szCs w:val="22"/>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1435</Words>
  <Characters>1489</Characters>
  <Lines>0</Lines>
  <Paragraphs>0</Paragraphs>
  <TotalTime>6</TotalTime>
  <ScaleCrop>false</ScaleCrop>
  <LinksUpToDate>false</LinksUpToDate>
  <CharactersWithSpaces>1489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2023-06-12T07:14:00Z</dcterms:created>
  <dc:creator>芝士玉米酱</dc:creator>
  <cp:lastModifiedBy>芝士玉米酱</cp:lastModifiedBy>
  <dcterms:modified xsi:type="dcterms:W3CDTF">2023-06-15T07:04:00Z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99E68DD1A00C4EB299FB95D707D1ED73_11</vt:lpwstr>
  </property>
</Properties>
</file>